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黄山仲裁委员会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仲裁庭及仲裁员选定书</w:t>
      </w:r>
    </w:p>
    <w:p>
      <w:pPr>
        <w:rPr>
          <w:rFonts w:ascii="新宋体" w:hAnsi="新宋体" w:eastAsia="新宋体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黄山仲裁委员会：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根据《黄山仲裁委员会仲裁规则》的规定和《黄山仲裁委员会仲裁员名册》，现就仲裁庭组成方式和仲裁员人选选定如下：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6"/>
          <w:szCs w:val="36"/>
        </w:rPr>
        <w:t>□</w:t>
      </w:r>
      <w:r>
        <w:rPr>
          <w:rFonts w:asci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eastAsia="仿宋_GB2312" w:cs="仿宋_GB2312"/>
          <w:sz w:val="32"/>
          <w:szCs w:val="32"/>
        </w:rPr>
        <w:t>、由一名仲裁员组成仲裁庭：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仲裁员为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6"/>
          <w:szCs w:val="36"/>
        </w:rPr>
        <w:t>□</w:t>
      </w:r>
      <w:r>
        <w:rPr>
          <w:rFonts w:asci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eastAsia="仿宋_GB2312" w:cs="仿宋_GB2312"/>
          <w:sz w:val="32"/>
          <w:szCs w:val="32"/>
        </w:rPr>
        <w:t>、由三名仲裁员组成仲裁庭：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仲裁员为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首席仲裁员为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00"/>
        <w:rPr>
          <w:rFonts w:ascii="新宋体" w:hAnsi="新宋体" w:eastAsia="新宋体"/>
          <w:kern w:val="0"/>
          <w:sz w:val="30"/>
          <w:szCs w:val="30"/>
        </w:rPr>
      </w:pPr>
    </w:p>
    <w:p>
      <w:pPr>
        <w:ind w:firstLine="600"/>
        <w:rPr>
          <w:rFonts w:ascii="新宋体" w:hAnsi="新宋体" w:eastAsia="新宋体" w:cs="新宋体"/>
          <w:kern w:val="0"/>
          <w:sz w:val="30"/>
          <w:szCs w:val="30"/>
        </w:rPr>
      </w:pPr>
      <w:r>
        <w:rPr>
          <w:rFonts w:ascii="新宋体" w:hAnsi="新宋体" w:eastAsia="新宋体" w:cs="新宋体"/>
          <w:kern w:val="0"/>
          <w:sz w:val="30"/>
          <w:szCs w:val="30"/>
        </w:rPr>
        <w:t xml:space="preserve">                                    </w:t>
      </w:r>
    </w:p>
    <w:p>
      <w:pPr>
        <w:wordWrap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</w:p>
    <w:p>
      <w:pPr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spacing w:line="400" w:lineRule="exact"/>
        <w:rPr>
          <w:rFonts w:ascii="新宋体" w:hAnsi="新宋体" w:eastAsia="新宋体"/>
          <w:b/>
          <w:bCs/>
          <w:kern w:val="0"/>
          <w:sz w:val="30"/>
          <w:szCs w:val="30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b/>
          <w:bCs/>
          <w:kern w:val="0"/>
          <w:sz w:val="30"/>
          <w:szCs w:val="30"/>
        </w:rPr>
        <w:t>注意事项：</w:t>
      </w:r>
    </w:p>
    <w:p>
      <w:pPr>
        <w:spacing w:line="400" w:lineRule="exact"/>
        <w:ind w:firstLine="700" w:firstLineChars="25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 w:cs="仿宋_GB2312"/>
          <w:kern w:val="0"/>
          <w:sz w:val="28"/>
          <w:szCs w:val="28"/>
        </w:rPr>
        <w:t>⑴当事人只能在正文仲裁庭</w:t>
      </w:r>
      <w:r>
        <w:rPr>
          <w:rFonts w:ascii="仿宋_GB2312" w:hAnsi="新宋体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新宋体" w:eastAsia="仿宋_GB2312" w:cs="仿宋_GB2312"/>
          <w:kern w:val="0"/>
          <w:sz w:val="28"/>
          <w:szCs w:val="28"/>
        </w:rPr>
        <w:t>、</w:t>
      </w:r>
      <w:r>
        <w:rPr>
          <w:rFonts w:ascii="仿宋_GB2312" w:hAnsi="新宋体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hAnsi="新宋体" w:eastAsia="仿宋_GB2312" w:cs="仿宋_GB2312"/>
          <w:kern w:val="0"/>
          <w:sz w:val="28"/>
          <w:szCs w:val="28"/>
        </w:rPr>
        <w:t>两种组成方式中选定一种方式；</w:t>
      </w:r>
    </w:p>
    <w:p>
      <w:pPr>
        <w:spacing w:line="400" w:lineRule="exact"/>
        <w:ind w:firstLine="700" w:firstLineChars="25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 w:cs="仿宋_GB2312"/>
          <w:sz w:val="28"/>
          <w:szCs w:val="28"/>
        </w:rPr>
        <w:t>⑵选定的请在</w:t>
      </w:r>
      <w:r>
        <w:rPr>
          <w:rFonts w:hint="eastAsia" w:ascii="仿宋_GB2312" w:eastAsia="仿宋_GB2312" w:cs="仿宋_GB2312"/>
          <w:sz w:val="36"/>
          <w:szCs w:val="36"/>
        </w:rPr>
        <w:t>□</w:t>
      </w:r>
      <w:r>
        <w:rPr>
          <w:rFonts w:hint="eastAsia" w:ascii="仿宋_GB2312" w:hAnsi="新宋体" w:eastAsia="仿宋_GB2312" w:cs="仿宋_GB2312"/>
          <w:sz w:val="28"/>
          <w:szCs w:val="28"/>
        </w:rPr>
        <w:t>中打“√”；</w:t>
      </w:r>
    </w:p>
    <w:p>
      <w:pPr>
        <w:spacing w:line="400" w:lineRule="exact"/>
        <w:ind w:firstLine="700" w:firstLineChars="25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 w:cs="仿宋_GB2312"/>
          <w:sz w:val="28"/>
          <w:szCs w:val="28"/>
        </w:rPr>
        <w:t>⑶首席仲裁员选定如与对方选定的不一致，则由本委主任指定；</w:t>
      </w:r>
    </w:p>
    <w:p>
      <w:pPr>
        <w:spacing w:line="400" w:lineRule="exact"/>
        <w:ind w:firstLine="700" w:firstLineChars="25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 w:cs="仿宋_GB2312"/>
          <w:sz w:val="28"/>
          <w:szCs w:val="28"/>
        </w:rPr>
        <w:t>⑷当事人逾期未选定仲裁庭组成方式和仲裁员、首席仲裁员的，由本委主任指定；</w:t>
      </w:r>
    </w:p>
    <w:p>
      <w:pPr>
        <w:spacing w:line="400" w:lineRule="exact"/>
        <w:ind w:firstLine="700" w:firstLineChars="25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 w:cs="仿宋_GB2312"/>
          <w:sz w:val="28"/>
          <w:szCs w:val="28"/>
        </w:rPr>
        <w:t>⑸仲裁不公开进行，当事人双方协议公开开庭的，除填写本选定书外，还应在开庭</w:t>
      </w:r>
      <w:r>
        <w:rPr>
          <w:rFonts w:ascii="仿宋_GB2312" w:hAnsi="新宋体" w:eastAsia="仿宋_GB2312" w:cs="仿宋_GB2312"/>
          <w:sz w:val="28"/>
          <w:szCs w:val="28"/>
        </w:rPr>
        <w:t>7</w:t>
      </w:r>
      <w:r>
        <w:rPr>
          <w:rFonts w:hint="eastAsia" w:ascii="仿宋_GB2312" w:hAnsi="新宋体" w:eastAsia="仿宋_GB2312" w:cs="仿宋_GB2312"/>
          <w:sz w:val="28"/>
          <w:szCs w:val="28"/>
        </w:rPr>
        <w:t>日前向本委递交开庭公开进行的协议书。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52F7"/>
    <w:rsid w:val="6D8852F7"/>
    <w:rsid w:val="7E215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2017-11-23T07:12:00Z</dcterms:created>
  <dc:creator>陈小亚</dc:creator>
  <cp:lastModifiedBy>陈小亚</cp:lastModifiedBy>
  <dcterms:modified xsi:type="dcterms:W3CDTF">2017-11-23T07:20:01Z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